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8D9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HPLC 快速操作卡</w:t>
      </w:r>
    </w:p>
    <w:p w14:paraId="7D926A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为方便实验人员规范操作、减少误操作与仪器故障，整理液相色谱标准快速操作流程，步骤简洁一目了然，可直接打印张贴于仪器旁。</w:t>
      </w:r>
    </w:p>
    <w:p w14:paraId="28FD6D6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sz w:val="24"/>
          <w:szCs w:val="24"/>
          <w:bdr w:val="none" w:color="auto" w:sz="0" w:space="0"/>
        </w:rPr>
        <w:t>开机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依次开启电脑、色谱工作站、液相主机；检查流动相、废液、管路有无漏液。</w:t>
      </w:r>
    </w:p>
    <w:p w14:paraId="77E726A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sz w:val="24"/>
          <w:szCs w:val="24"/>
          <w:bdr w:val="none" w:color="auto" w:sz="0" w:space="0"/>
        </w:rPr>
        <w:t>排气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开启排气阀进行系统排气，待管路无气泡后关闭排气阀，设置实验参数。</w:t>
      </w:r>
    </w:p>
    <w:p w14:paraId="2EE2157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sz w:val="24"/>
          <w:szCs w:val="24"/>
          <w:bdr w:val="none" w:color="auto" w:sz="0" w:space="0"/>
        </w:rPr>
        <w:t>检测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待基线、压力稳定后进样分析，全程观察仪器运行状态。</w:t>
      </w:r>
    </w:p>
    <w:p w14:paraId="4C58AC8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sz w:val="24"/>
          <w:szCs w:val="24"/>
          <w:bdr w:val="none" w:color="auto" w:sz="0" w:space="0"/>
        </w:rPr>
        <w:t>冲洗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实验结束，含盐流动相先用纯水冲洗，再用有机相冲洗封存系统。</w:t>
      </w:r>
    </w:p>
    <w:p w14:paraId="60F3D60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000000"/>
          <w:sz w:val="24"/>
          <w:szCs w:val="24"/>
          <w:bdr w:val="none" w:color="auto" w:sz="0" w:space="0"/>
        </w:rPr>
        <w:t>关机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停泵关灯，依次关闭仪器主机、软件及电脑，做好使用记录。</w:t>
      </w:r>
    </w:p>
    <w:p w14:paraId="2F5E63D5">
      <w:pPr>
        <w:rPr>
          <w:rFonts w:hint="eastAsia" w:ascii="微软雅黑" w:hAnsi="微软雅黑" w:eastAsia="微软雅黑" w:cs="微软雅黑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BD021"/>
    <w:multiLevelType w:val="multilevel"/>
    <w:tmpl w:val="AC4BD02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57BB"/>
    <w:rsid w:val="189B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2026-04-24T01:41:59Z</dcterms:created>
  <dc:creator>elite</dc:creator>
  <cp:lastModifiedBy>大超</cp:lastModifiedBy>
  <dcterms:modified xsi:type="dcterms:W3CDTF">2026-04-24T01:42:07Z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eyJoZGlkIjoiMjFmMDI5M2U3YjdhNmE1MmNjODZmMjcyZWE0YWFiODIiLCJ1c2VySWQiOiI0MzM3MTg5NDYifQ==</vt:lpwstr>
  </property>
  <property fmtid="{D5CDD505-2E9C-101B-9397-08002B2CF9AE}" pid="4" name="ICV">
    <vt:lpwstr>7B94C2A2B0FE4E3FA2AE6B956DC64C6E_12</vt:lpwstr>
  </property>
</Properties>
</file>